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571" w:rsidRPr="000B32FB" w:rsidRDefault="00B33571" w:rsidP="006C6CF3">
      <w:pPr>
        <w:pStyle w:val="Heading2"/>
        <w:numPr>
          <w:ilvl w:val="0"/>
          <w:numId w:val="0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86846709"/>
      <w:bookmarkStart w:id="1" w:name="_Toc486848070"/>
      <w:bookmarkStart w:id="2" w:name="_Toc486848105"/>
      <w:bookmarkStart w:id="3" w:name="_Toc486855787"/>
      <w:bookmarkStart w:id="4" w:name="_Toc487109755"/>
      <w:bookmarkStart w:id="5" w:name="_GoBack"/>
      <w:r w:rsidRPr="000B32FB">
        <w:rPr>
          <w:rFonts w:ascii="Times New Roman" w:hAnsi="Times New Roman" w:cs="Times New Roman"/>
          <w:sz w:val="24"/>
          <w:szCs w:val="24"/>
        </w:rPr>
        <w:t>Технички услови за израду и постављање</w:t>
      </w:r>
    </w:p>
    <w:p w:rsidR="00D46EA9" w:rsidRPr="000B32FB" w:rsidRDefault="00B33571" w:rsidP="006C6CF3">
      <w:pPr>
        <w:pStyle w:val="Heading2"/>
        <w:numPr>
          <w:ilvl w:val="0"/>
          <w:numId w:val="0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2FB">
        <w:rPr>
          <w:rFonts w:ascii="Times New Roman" w:hAnsi="Times New Roman" w:cs="Times New Roman"/>
          <w:sz w:val="24"/>
          <w:szCs w:val="24"/>
        </w:rPr>
        <w:t>саобраћајне сигнализације</w:t>
      </w:r>
    </w:p>
    <w:bookmarkEnd w:id="5"/>
    <w:p w:rsidR="00B33571" w:rsidRPr="000B32FB" w:rsidRDefault="00B33571" w:rsidP="000B32FB">
      <w:pPr>
        <w:rPr>
          <w:rFonts w:ascii="Times New Roman" w:hAnsi="Times New Roman" w:cs="Times New Roman"/>
        </w:rPr>
      </w:pPr>
    </w:p>
    <w:bookmarkEnd w:id="0"/>
    <w:bookmarkEnd w:id="1"/>
    <w:bookmarkEnd w:id="2"/>
    <w:bookmarkEnd w:id="3"/>
    <w:bookmarkEnd w:id="4"/>
    <w:p w:rsidR="005B4A6A" w:rsidRPr="000B32FB" w:rsidRDefault="00D90667" w:rsidP="000B32F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right="78"/>
        <w:rPr>
          <w:rFonts w:ascii="Times New Roman" w:hAnsi="Times New Roman" w:cs="Times New Roman"/>
          <w:i/>
          <w:spacing w:val="-2"/>
          <w:sz w:val="24"/>
          <w:szCs w:val="24"/>
          <w:u w:val="single"/>
          <w:lang w:val="en-US"/>
        </w:rPr>
      </w:pPr>
      <w:r w:rsidRPr="000B32FB">
        <w:rPr>
          <w:rFonts w:ascii="Times New Roman" w:hAnsi="Times New Roman" w:cs="Times New Roman"/>
          <w:i/>
          <w:spacing w:val="-2"/>
          <w:sz w:val="24"/>
          <w:szCs w:val="24"/>
          <w:u w:val="single"/>
          <w:lang w:val="en-US"/>
        </w:rPr>
        <w:t>Саобраћајни знакови на путевима</w:t>
      </w:r>
    </w:p>
    <w:p w:rsidR="005B4A6A" w:rsidRPr="000B32FB" w:rsidRDefault="005B4A6A" w:rsidP="000B32FB">
      <w:pPr>
        <w:shd w:val="clear" w:color="auto" w:fill="FFFFFF"/>
        <w:ind w:right="78"/>
        <w:rPr>
          <w:rFonts w:ascii="Times New Roman" w:hAnsi="Times New Roman" w:cs="Times New Roman"/>
          <w:i/>
          <w:spacing w:val="-2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i/>
          <w:spacing w:val="-2"/>
          <w:sz w:val="24"/>
          <w:szCs w:val="24"/>
          <w:lang w:val="en-US"/>
        </w:rPr>
        <w:t xml:space="preserve">          SRP Z.S2.300:2011</w:t>
      </w:r>
    </w:p>
    <w:p w:rsidR="005B4A6A" w:rsidRPr="000B32FB" w:rsidRDefault="005B4A6A" w:rsidP="000B32FB">
      <w:pPr>
        <w:shd w:val="clear" w:color="auto" w:fill="FFFFFF"/>
        <w:ind w:right="78"/>
        <w:rPr>
          <w:rFonts w:ascii="Times New Roman" w:hAnsi="Times New Roman" w:cs="Times New Roman"/>
          <w:spacing w:val="-4"/>
          <w:sz w:val="24"/>
          <w:szCs w:val="24"/>
          <w:lang w:val="en-US"/>
        </w:rPr>
      </w:pPr>
    </w:p>
    <w:p w:rsidR="0064068D" w:rsidRPr="000B32FB" w:rsidRDefault="0064068D" w:rsidP="000B32F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Овим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sr-Cyrl-RS"/>
        </w:rPr>
        <w:t>т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ехничким условима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дата су упутства, услови и објашњења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везана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за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постављање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вертикалне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сигнализације</w:t>
      </w:r>
      <w:r w:rsidR="00747842" w:rsidRPr="000B32FB">
        <w:rPr>
          <w:rFonts w:ascii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="007B1664" w:rsidRPr="000B32FB">
        <w:rPr>
          <w:rFonts w:ascii="Times New Roman" w:hAnsi="Times New Roman" w:cs="Times New Roman"/>
          <w:spacing w:val="-1"/>
          <w:sz w:val="24"/>
          <w:szCs w:val="24"/>
          <w:lang w:val="sr-Cyrl-RS"/>
        </w:rPr>
        <w:t>– саобраћајние знакове</w:t>
      </w:r>
      <w:r w:rsidRPr="000B32FB">
        <w:rPr>
          <w:rFonts w:ascii="Times New Roman" w:hAnsi="Times New Roman" w:cs="Times New Roman"/>
          <w:spacing w:val="-1"/>
          <w:sz w:val="24"/>
          <w:szCs w:val="24"/>
          <w:lang w:val="en-US"/>
        </w:rPr>
        <w:t>.</w:t>
      </w:r>
    </w:p>
    <w:p w:rsidR="005B4A6A" w:rsidRPr="000B32FB" w:rsidRDefault="0064068D" w:rsidP="000B32FB">
      <w:pPr>
        <w:shd w:val="clear" w:color="auto" w:fill="FFFFFF"/>
        <w:tabs>
          <w:tab w:val="left" w:pos="341"/>
        </w:tabs>
        <w:rPr>
          <w:rFonts w:ascii="Times New Roman" w:hAnsi="Times New Roman" w:cs="Times New Roman"/>
          <w:sz w:val="24"/>
          <w:szCs w:val="24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Постављање</w:t>
      </w:r>
      <w:r w:rsidR="00747842" w:rsidRPr="000B32F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употреба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и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коришћење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саобраћајних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знакова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на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путевима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је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одређен</w:t>
      </w:r>
      <w:r w:rsidRPr="000B32FB">
        <w:rPr>
          <w:rFonts w:ascii="Times New Roman" w:hAnsi="Times New Roman" w:cs="Times New Roman"/>
          <w:sz w:val="24"/>
          <w:szCs w:val="24"/>
        </w:rPr>
        <w:t>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</w:rPr>
        <w:t>важећим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прописима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и</w:t>
      </w:r>
      <w:r w:rsidR="00747842" w:rsidRPr="000B32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>законима</w:t>
      </w:r>
      <w:r w:rsidRPr="000B32FB">
        <w:rPr>
          <w:rFonts w:ascii="Times New Roman" w:hAnsi="Times New Roman" w:cs="Times New Roman"/>
          <w:sz w:val="24"/>
          <w:szCs w:val="24"/>
        </w:rPr>
        <w:t>.</w:t>
      </w:r>
    </w:p>
    <w:p w:rsidR="00E969D8" w:rsidRPr="000B32FB" w:rsidRDefault="00E969D8" w:rsidP="000B32FB">
      <w:pPr>
        <w:shd w:val="clear" w:color="auto" w:fill="FFFFFF"/>
        <w:tabs>
          <w:tab w:val="left" w:pos="341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5B4A6A" w:rsidRPr="000B32FB" w:rsidRDefault="005B4A6A" w:rsidP="000B32FB">
      <w:pPr>
        <w:shd w:val="clear" w:color="auto" w:fill="FFFFFF"/>
        <w:tabs>
          <w:tab w:val="left" w:pos="341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Технички услови за саобраћајне знакове треба да испуне следеће услове: </w:t>
      </w:r>
    </w:p>
    <w:p w:rsidR="00E969D8" w:rsidRPr="000B32FB" w:rsidRDefault="00E969D8" w:rsidP="000B32FB">
      <w:pPr>
        <w:shd w:val="clear" w:color="auto" w:fill="FFFFFF"/>
        <w:tabs>
          <w:tab w:val="left" w:pos="341"/>
        </w:tabs>
        <w:ind w:firstLine="42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Основни геометријски облици саобраћајних знакова су: једнакостранични троугао, круг, квадрат, правоугаоник, правоугаоник са стреластим завршетком и правилни осмоугаоник;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Одступање од утврђених габаритних мера дозвољено је у границама +/-2%. Укупан утисак симбола и натписа не сме се изменити кроз дозвољена одступања;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Код саобраћајних знакова и допунских табли са унутрашњим осветљењем мере се односе на ефективну површину;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Боја позадине саобраћајних знакова и допунских табли, као и елемената за учвршивање, јесте сиве, без сјаја, према RAL 7043. Сивом бојом сматраће се и боја алуминијума - на знаковима од алуминијумског лима;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Када се не користе ретрорефлектујући материјали, боје морају да буду без сјаја, да саобраћајни знакови и допунске табла не би блештале при осветљењу аутомобилским фаровима;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Слова и бројеви који се користе на саобраћајним знаковима и допунским таблама морају у свему да одговарају одредбама стандарда SRPS U.S4.201;SRPS U.S4.202;SRPS U.S4.203;SRPS U.S4.204;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Знакови имају оивичење (индивидуализацију знака) које је у боји основе знака или беле боје за знакове чија је основа плава. Његова величина зависи од величине знака. За знакове путоказне сигнализације за вођење саобраћаја ове одредба не важи;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Скраћенице речи које се користе на знаковима не смеју да умање разумљивост знака;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Употреба речи: "град", "село", "салаш" и слично, као и њихове скраченице на знаковима насељених места, није дозвољена уколико та реч не чини саставни део назива населљеног места, нпр. Савино Село;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Одстојање (l) означава се заокруживањем вредности на најближу величину према следећем: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l &gt; 2km - на најближи цели km;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500m &lt; l &lt; 2000m - на најближих целих 100m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100m &lt; l &lt; 500m - на најближих целих 50m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 xml:space="preserve">50m &lt; l &lt;100m - на 50m </w:t>
      </w:r>
      <w:r w:rsidR="007F5EAF" w:rsidRPr="000B32FB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 xml:space="preserve"> 75</w:t>
      </w:r>
      <w:r w:rsidR="007F5EAF" w:rsidRPr="000B32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t xml:space="preserve"> - 100m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10m &lt; l &lt; 50m - на најближих 10m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5m &lt; l &lt; 10m - на најближих 1m</w:t>
      </w:r>
    </w:p>
    <w:p w:rsidR="005B4A6A" w:rsidRPr="000B32FB" w:rsidRDefault="005B4A6A" w:rsidP="000B32FB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и&lt; 5m - на најближих 0,5m.</w:t>
      </w:r>
    </w:p>
    <w:p w:rsidR="005B4A6A" w:rsidRPr="000B32FB" w:rsidRDefault="005B4A6A" w:rsidP="000B32FB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Означавање брзине возила се врши према следећем:</w:t>
      </w:r>
    </w:p>
    <w:p w:rsidR="005B4A6A" w:rsidRPr="000B32FB" w:rsidRDefault="005B4A6A" w:rsidP="005B4A6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до 20 km - на најближих 5 km;</w:t>
      </w:r>
    </w:p>
    <w:p w:rsidR="005B4A6A" w:rsidRPr="000B32FB" w:rsidRDefault="005B4A6A" w:rsidP="005B4A6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изнад 20 km - на најближих 20km;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Време дана и ноћи означава се са тачношћу од 15 min., тј: 23.00; 23.15; 23.30; 23.45;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За означавање масе возила (и осовинско оптерећење) користе се следеће вредности: 1,5; 2; 2,5; 3,5; 4 и даље на по 1t;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Означавање нагиба пута се врши са тачношћу од 1%;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 xml:space="preserve">Знакови и табле могу да се израђују од следећих материјала: челични лим, алуминијумски </w:t>
      </w:r>
      <w:r w:rsidRPr="000B32FB">
        <w:rPr>
          <w:rFonts w:ascii="Times New Roman" w:hAnsi="Times New Roman" w:cs="Times New Roman"/>
          <w:sz w:val="24"/>
          <w:szCs w:val="24"/>
          <w:lang w:val="en-US"/>
        </w:rPr>
        <w:lastRenderedPageBreak/>
        <w:t>лим, пластичне масе са или без стаклених влакана, под условом да су обезбеђена потребна чврстоћа, постојаност и трајност при различитим атмосферским условима;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Знакови са унутрашњим осветљењем израђују се по правилу од следећих материјала:</w:t>
      </w:r>
    </w:p>
    <w:p w:rsidR="005B4A6A" w:rsidRPr="000B32FB" w:rsidRDefault="005B4A6A" w:rsidP="007F5EAF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567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кућиште: пластична маса са или без стаклених влакана или лим (челични или алуминијумски)</w:t>
      </w:r>
      <w:r w:rsidR="007F5EAF" w:rsidRPr="000B32F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B4A6A" w:rsidRPr="000B32FB" w:rsidRDefault="005B4A6A" w:rsidP="007F5EAF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567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лице саобраћајног знака: специјалне прозирне пластичне масе;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Означавање, испитивање, фотометријске особине, хроматске координате (координате боја) x и y као и фактор сјајности β за знакове са унутрашњим и спољашњим осветљењем и захтеви у погледу механичких утицаја се врше према одредбама стандарда SRPS EN 12899-1;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Саобраћајни знакови и допунске табле израђују се за употребу у свим климатским условима, са температуром од 323 К (50 °C) до 232 К (-40 °C) и релативном влажношћу до 95 %;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Знакови се производе од светлоодбојног материјала, или са унутршањим или спољашњим осветљењем, или са посебним електронским компонентама (светлоодбојна влакна, ЛЕД диоде);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Знакови могу да се израђују као једнострани или двострани, а дозвољено је, такође, представљање више знакова на плочи правоугаоног облика;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Тачке причвршћивања знакова морају да буду унифициране у зависноси од величине знакова и њихових габарита;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Конструкција знакова са унутршањим осветљењем мора да обезбеди учвршћивање светлећих тела и може да издржи дејство момента до 3Nm;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Конструкција знакова са унутрашњим осветљењем мора да буде таква да обезбеди лаку замену и чишћење светлећих тела, лица знака и других елемената, као и лак приступ местима електричних спојева;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Сви метални делови и монтажне јединице морају да се израђују од антикорозивних материјала или да буду са заштитом или заштитном - декоративном превлаком која омогућава нормалну функцију знакова у условима утврђеним овим стандардом;</w:t>
      </w:r>
    </w:p>
    <w:p w:rsidR="005B4A6A" w:rsidRPr="000B32FB" w:rsidRDefault="005B4A6A" w:rsidP="005B4A6A">
      <w:pPr>
        <w:widowControl w:val="0"/>
        <w:numPr>
          <w:ilvl w:val="0"/>
          <w:numId w:val="17"/>
        </w:numPr>
        <w:shd w:val="clear" w:color="auto" w:fill="FFFFFF"/>
        <w:tabs>
          <w:tab w:val="clear" w:pos="2138"/>
          <w:tab w:val="left" w:pos="284"/>
          <w:tab w:val="num" w:pos="567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Чврстоћа знакова може да се обезбеди образовањем ребара за ојачање по обиму знака, савијањем ивице знака или оивичвањем знака алуминијумском траком;</w:t>
      </w:r>
    </w:p>
    <w:p w:rsidR="005B4A6A" w:rsidRPr="000B32FB" w:rsidRDefault="005B4A6A" w:rsidP="007F5EAF">
      <w:pPr>
        <w:widowControl w:val="0"/>
        <w:numPr>
          <w:ilvl w:val="0"/>
          <w:numId w:val="20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ind w:left="284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За знакове са површином већом од 1m² могу да се користе посебнеконструкције (скелети, оквири и сл.);</w:t>
      </w:r>
    </w:p>
    <w:p w:rsidR="005B4A6A" w:rsidRPr="000B32FB" w:rsidRDefault="005B4A6A" w:rsidP="005B4A6A">
      <w:pPr>
        <w:widowControl w:val="0"/>
        <w:numPr>
          <w:ilvl w:val="0"/>
          <w:numId w:val="2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Елементи за причвршћивање знака на стуб или стубове носаче могу да чине једну целину са знаком или да се спајају вијцима, закивцима или заваривањем;</w:t>
      </w:r>
    </w:p>
    <w:p w:rsidR="005B4A6A" w:rsidRPr="000B32FB" w:rsidRDefault="005B4A6A" w:rsidP="00E969D8">
      <w:pPr>
        <w:widowControl w:val="0"/>
        <w:numPr>
          <w:ilvl w:val="0"/>
          <w:numId w:val="2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0B32FB">
        <w:rPr>
          <w:rFonts w:ascii="Times New Roman" w:hAnsi="Times New Roman" w:cs="Times New Roman"/>
          <w:sz w:val="24"/>
          <w:szCs w:val="24"/>
          <w:lang w:val="en-US"/>
        </w:rPr>
        <w:t>Трајност знака мора да износи најмање 5 година од дана постављања, односно 7 година од дана производње.</w:t>
      </w:r>
    </w:p>
    <w:p w:rsidR="00D40C70" w:rsidRDefault="00D40C70" w:rsidP="00D40C7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34718C" w:rsidRDefault="0034718C" w:rsidP="00D40C7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5B4A6A" w:rsidRPr="00D539D3" w:rsidRDefault="00D90667" w:rsidP="00D539D3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right="78"/>
        <w:rPr>
          <w:rFonts w:ascii="Times New Roman" w:hAnsi="Times New Roman" w:cs="Times New Roman"/>
          <w:i/>
          <w:spacing w:val="-2"/>
          <w:sz w:val="24"/>
          <w:szCs w:val="24"/>
          <w:u w:val="single"/>
          <w:lang w:val="en-US"/>
        </w:rPr>
      </w:pPr>
      <w:r w:rsidRPr="00D539D3">
        <w:rPr>
          <w:rFonts w:ascii="Times New Roman" w:hAnsi="Times New Roman" w:cs="Times New Roman"/>
          <w:i/>
          <w:spacing w:val="-2"/>
          <w:sz w:val="24"/>
          <w:szCs w:val="24"/>
          <w:u w:val="single"/>
          <w:lang w:val="sr-Cyrl-CS"/>
        </w:rPr>
        <w:t>Ознаке на коловозу</w:t>
      </w:r>
    </w:p>
    <w:p w:rsidR="00004C7C" w:rsidRPr="00D539D3" w:rsidRDefault="00004C7C" w:rsidP="00D539D3">
      <w:pPr>
        <w:widowControl w:val="0"/>
        <w:shd w:val="clear" w:color="auto" w:fill="FFFFFF"/>
        <w:autoSpaceDE w:val="0"/>
        <w:autoSpaceDN w:val="0"/>
        <w:adjustRightInd w:val="0"/>
        <w:ind w:left="720" w:right="78"/>
        <w:rPr>
          <w:rFonts w:ascii="Times New Roman" w:hAnsi="Times New Roman" w:cs="Times New Roman"/>
          <w:i/>
          <w:spacing w:val="-2"/>
          <w:sz w:val="24"/>
          <w:szCs w:val="24"/>
          <w:u w:val="single"/>
          <w:lang w:val="en-US"/>
        </w:rPr>
      </w:pPr>
    </w:p>
    <w:p w:rsidR="001F1736" w:rsidRPr="00D539D3" w:rsidRDefault="001F1736" w:rsidP="00D539D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Овим Техничким условима дата су упутства, услови и објашњења везана за обележавање ознака на коловозу.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Технички услови материјала за обележавање асфалтних и бетонских коловоза, захтеви и услови за извођење радова и саобраћајно-техничке особине ознака на коловозу дефинисани су српским стандардима СРПС 3.Ц2.240;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За извођење ознака на коловозу могу се употребити само они материјали чије саобраћајно-техничке особине и квалитет омогућавају добру видљивост</w:t>
      </w:r>
      <w:r w:rsidRPr="00D539D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D539D3">
        <w:rPr>
          <w:rFonts w:ascii="Times New Roman" w:hAnsi="Times New Roman" w:cs="Times New Roman"/>
          <w:sz w:val="24"/>
          <w:szCs w:val="24"/>
          <w:lang w:val="en-US"/>
        </w:rPr>
        <w:t xml:space="preserve">ознака у дневним и ноћним условима вожње. Примењени материјали морају да имају одговарајућу храпавост и трајност у траженом временском периоду. Особине и </w:t>
      </w:r>
      <w:r w:rsidRPr="00D539D3">
        <w:rPr>
          <w:rFonts w:ascii="Times New Roman" w:hAnsi="Times New Roman" w:cs="Times New Roman"/>
          <w:spacing w:val="-1"/>
          <w:sz w:val="24"/>
          <w:szCs w:val="24"/>
          <w:lang w:val="en-US"/>
        </w:rPr>
        <w:t>квалитет материјала морају бити усклађени са саобраћајним оптерећењем пута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Састав материјала и начин израде ознака на коловозу морају да буду такви да обезбеђују рефлектујуће особине ознака;</w:t>
      </w:r>
    </w:p>
    <w:p w:rsidR="00D539D3" w:rsidRPr="00D539D3" w:rsidRDefault="001F1736" w:rsidP="00D539D3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sr-Cyrl-R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Врста, облик, мере, боја и положај ознака на коловозу, као и значење и начин означавања утврђени су српским стандардима СРПС У.Ц4.221 - СРПС </w:t>
      </w:r>
      <w:r w:rsidRPr="00D539D3">
        <w:rPr>
          <w:rFonts w:ascii="Times New Roman" w:hAnsi="Times New Roman" w:cs="Times New Roman"/>
          <w:spacing w:val="-2"/>
          <w:sz w:val="24"/>
          <w:szCs w:val="24"/>
          <w:lang w:val="en-US"/>
        </w:rPr>
        <w:t>У.Ц</w:t>
      </w:r>
      <w:r w:rsidR="00D539D3" w:rsidRPr="00D539D3">
        <w:rPr>
          <w:rFonts w:ascii="Times New Roman" w:hAnsi="Times New Roman" w:cs="Times New Roman"/>
          <w:spacing w:val="-2"/>
          <w:sz w:val="24"/>
          <w:szCs w:val="24"/>
          <w:lang w:val="en-US"/>
        </w:rPr>
        <w:t>4.234</w:t>
      </w:r>
      <w:r w:rsidR="00D539D3" w:rsidRPr="00D539D3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, </w:t>
      </w:r>
      <w:r w:rsidRPr="00D539D3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Правилником о </w:t>
      </w:r>
      <w:r w:rsidR="00D539D3" w:rsidRPr="00D539D3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саобраћајној сигнализацији </w:t>
      </w:r>
      <w:r w:rsidRPr="00D539D3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(</w:t>
      </w:r>
      <w:r w:rsidRPr="00D539D3">
        <w:rPr>
          <w:rFonts w:ascii="Times New Roman" w:hAnsi="Times New Roman" w:cs="Times New Roman"/>
          <w:sz w:val="24"/>
          <w:szCs w:val="24"/>
          <w:lang w:val="en-US"/>
        </w:rPr>
        <w:t xml:space="preserve">Службени гласник РС, бр. </w:t>
      </w:r>
      <w:r w:rsidR="00D539D3" w:rsidRPr="00D539D3">
        <w:rPr>
          <w:rFonts w:ascii="Times New Roman" w:hAnsi="Times New Roman" w:cs="Times New Roman"/>
          <w:sz w:val="24"/>
          <w:szCs w:val="24"/>
          <w:lang w:val="sr-Cyrl-RS"/>
        </w:rPr>
        <w:t>85/2017 и 14/2021</w:t>
      </w:r>
      <w:r w:rsidR="00D539D3" w:rsidRPr="00D539D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539D3" w:rsidRPr="00D539D3">
        <w:rPr>
          <w:rFonts w:ascii="Times New Roman" w:hAnsi="Times New Roman" w:cs="Times New Roman"/>
          <w:sz w:val="24"/>
          <w:szCs w:val="24"/>
          <w:lang w:val="sr-Cyrl-RS"/>
        </w:rPr>
        <w:t xml:space="preserve"> и Правилник</w:t>
      </w:r>
      <w:r w:rsidR="00D539D3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D539D3" w:rsidRPr="00D539D3">
        <w:rPr>
          <w:rFonts w:ascii="Times New Roman" w:hAnsi="Times New Roman" w:cs="Times New Roman"/>
          <w:sz w:val="24"/>
          <w:szCs w:val="24"/>
          <w:lang w:val="sr-Cyrl-RS"/>
        </w:rPr>
        <w:t xml:space="preserve"> о условима које мора да испуњава привредно друштво, односно огранак привредног друштва или средња стручна школа који врше оспособљавање кандидата за возаче („Сл. гласник РС“, бр. 93/2013, 116/2013, 108/2024, 127/2014 – испр., 36/2015, 51/2015, 86/2015, 104/2015, 77/2016, 63/2017, 112/2017 и 70/2018);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Измена утврђених облика ознака на коловозу према српским стандардима, као што су деформације ознака, нетачно извођење обележаваних површина или убацивање нових елемената није дозвољено;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pacing w:val="-1"/>
          <w:sz w:val="24"/>
          <w:szCs w:val="24"/>
          <w:lang w:val="en-US"/>
        </w:rPr>
        <w:t>Ознаке које нису у складу са утврђеним обликом морају се трајно уклонити;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 xml:space="preserve">Пре наношења боје површина коловоза мора бити потпуно сува, чиста, без прашине и </w:t>
      </w:r>
      <w:r w:rsidRPr="00D539D3">
        <w:rPr>
          <w:rFonts w:ascii="Times New Roman" w:hAnsi="Times New Roman" w:cs="Times New Roman"/>
          <w:spacing w:val="-1"/>
          <w:sz w:val="24"/>
          <w:szCs w:val="24"/>
          <w:lang w:val="en-US"/>
        </w:rPr>
        <w:t>остатака соли.</w:t>
      </w:r>
      <w:r w:rsidRPr="00D539D3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</w:t>
      </w:r>
      <w:r w:rsidRPr="00D539D3">
        <w:rPr>
          <w:rFonts w:ascii="Times New Roman" w:hAnsi="Times New Roman" w:cs="Times New Roman"/>
          <w:spacing w:val="-1"/>
          <w:sz w:val="24"/>
          <w:szCs w:val="24"/>
          <w:lang w:val="en-US"/>
        </w:rPr>
        <w:t>Мрље од уља и других масти морају се пре наношења боје уклонити;</w:t>
      </w:r>
    </w:p>
    <w:p w:rsidR="001F1736" w:rsidRPr="00D539D3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Припремање површине коловоза која је јако храпава изводи се четкањем, издувавањем или испирањем.</w:t>
      </w:r>
      <w:r w:rsidRPr="00D539D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D539D3">
        <w:rPr>
          <w:rFonts w:ascii="Times New Roman" w:hAnsi="Times New Roman" w:cs="Times New Roman"/>
          <w:sz w:val="24"/>
          <w:szCs w:val="24"/>
          <w:lang w:val="en-US"/>
        </w:rPr>
        <w:t>Код јако углачане површине, похабане површине бетона или асфалта, површина мора претходно да се охрапави или да се изврши импрегнација;</w:t>
      </w:r>
    </w:p>
    <w:p w:rsidR="001F1736" w:rsidRPr="009468BA" w:rsidRDefault="001F1736" w:rsidP="001F1736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D539D3">
        <w:rPr>
          <w:rFonts w:ascii="Times New Roman" w:hAnsi="Times New Roman" w:cs="Times New Roman"/>
          <w:sz w:val="24"/>
          <w:szCs w:val="24"/>
          <w:lang w:val="en-US"/>
        </w:rPr>
        <w:t>Поступак и опрема за наношење премаза на коловозу морају да буду такви да радови не утичу на безбедност одвијања саобраћаја и безбедност извођача радова.</w:t>
      </w:r>
      <w:r w:rsidRPr="00D539D3">
        <w:rPr>
          <w:rFonts w:ascii="Times New Roman" w:hAnsi="Times New Roman" w:cs="Times New Roman"/>
          <w:noProof/>
          <w:szCs w:val="24"/>
          <w:lang w:val="en-US"/>
        </w:rPr>
        <w:t xml:space="preserve"> </w:t>
      </w:r>
    </w:p>
    <w:p w:rsidR="009468BA" w:rsidRPr="00814DC9" w:rsidRDefault="009468BA" w:rsidP="00814DC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9468BA">
        <w:rPr>
          <w:rFonts w:ascii="Times New Roman" w:hAnsi="Times New Roman" w:cs="Times New Roman"/>
          <w:sz w:val="24"/>
          <w:szCs w:val="24"/>
        </w:rPr>
        <w:t>Хладна пластика је вишекомпонентни, најчешће двокомпонентни материјал који се користи за трајно обележавање хоризонталне саобраћајне сигнализације. Мешањем основне компоненте са активатором – пероксидом добија се материјал који је спреман за ручну или машинску апликацију на коловоз. Хладна пластика се израђује у белој, жутој, црвеној, црној, зеленој и плавој боји. Поседује хемијску и физичк</w:t>
      </w:r>
      <w:r w:rsidR="00814DC9">
        <w:rPr>
          <w:rFonts w:ascii="Times New Roman" w:hAnsi="Times New Roman" w:cs="Times New Roman"/>
          <w:sz w:val="24"/>
          <w:szCs w:val="24"/>
        </w:rPr>
        <w:t>у отпорност на уља, бензин и со</w:t>
      </w:r>
      <w:r w:rsidR="00814DC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E6DA1" w:rsidRPr="00814DC9" w:rsidRDefault="00814DC9" w:rsidP="00814DC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pacing w:val="-3"/>
          <w:sz w:val="24"/>
          <w:szCs w:val="24"/>
          <w:lang w:val="sr-Cyrl-RS"/>
        </w:rPr>
      </w:pPr>
      <w:r w:rsidRPr="00814DC9">
        <w:rPr>
          <w:rFonts w:ascii="Times New Roman" w:hAnsi="Times New Roman" w:cs="Times New Roman"/>
          <w:sz w:val="24"/>
          <w:szCs w:val="24"/>
          <w:lang w:val="sr-Cyrl-RS"/>
        </w:rPr>
        <w:t xml:space="preserve">Хладна пластика је веома уочљива у свим длеовима дана и ноћи, </w:t>
      </w:r>
      <w:r w:rsidR="009468BA" w:rsidRPr="00814DC9">
        <w:rPr>
          <w:rFonts w:ascii="Times New Roman" w:hAnsi="Times New Roman" w:cs="Times New Roman"/>
          <w:sz w:val="24"/>
          <w:szCs w:val="24"/>
        </w:rPr>
        <w:t>при свим условима осветљења,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468BA" w:rsidRPr="00814DC9">
        <w:rPr>
          <w:rFonts w:ascii="Times New Roman" w:hAnsi="Times New Roman" w:cs="Times New Roman"/>
          <w:sz w:val="24"/>
          <w:szCs w:val="24"/>
        </w:rPr>
        <w:t>као и у свим временским условима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>, добро приања на подлогу, отпорна је на со за топљење снега и леда,  ј</w:t>
      </w:r>
      <w:r w:rsidRPr="00814DC9">
        <w:rPr>
          <w:rFonts w:ascii="Times New Roman" w:hAnsi="Times New Roman" w:cs="Times New Roman"/>
          <w:sz w:val="24"/>
          <w:szCs w:val="24"/>
        </w:rPr>
        <w:t>ако отпорна на трење у односу на количину предвиђеног оптерећења саобраћајем,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14DC9">
        <w:rPr>
          <w:rFonts w:ascii="Times New Roman" w:hAnsi="Times New Roman" w:cs="Times New Roman"/>
          <w:sz w:val="24"/>
          <w:szCs w:val="24"/>
        </w:rPr>
        <w:t>не ствара расцепе на коловозу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>, л</w:t>
      </w:r>
      <w:r w:rsidR="009468BA" w:rsidRPr="00814DC9">
        <w:rPr>
          <w:rFonts w:ascii="Times New Roman" w:hAnsi="Times New Roman" w:cs="Times New Roman"/>
          <w:sz w:val="24"/>
          <w:szCs w:val="24"/>
        </w:rPr>
        <w:t>ако се наноси и ручним и машинским путем,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468BA" w:rsidRPr="00814DC9">
        <w:rPr>
          <w:rFonts w:ascii="Times New Roman" w:hAnsi="Times New Roman" w:cs="Times New Roman"/>
          <w:sz w:val="24"/>
          <w:szCs w:val="24"/>
        </w:rPr>
        <w:t>гарантована постојаност је 3 до 5 година (у зависности од мар</w:t>
      </w:r>
      <w:r w:rsidRPr="00814DC9">
        <w:rPr>
          <w:rFonts w:ascii="Times New Roman" w:hAnsi="Times New Roman" w:cs="Times New Roman"/>
          <w:sz w:val="24"/>
          <w:szCs w:val="24"/>
        </w:rPr>
        <w:t>кер материјала који се наноси)</w:t>
      </w:r>
      <w:r w:rsidRPr="00814DC9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sectPr w:rsidR="006E6DA1" w:rsidRPr="00814DC9" w:rsidSect="00A41FEE">
      <w:headerReference w:type="even" r:id="rId9"/>
      <w:headerReference w:type="default" r:id="rId10"/>
      <w:footerReference w:type="default" r:id="rId11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86" w:rsidRDefault="009F0D86" w:rsidP="00CD59E2">
      <w:r>
        <w:separator/>
      </w:r>
    </w:p>
  </w:endnote>
  <w:endnote w:type="continuationSeparator" w:id="0">
    <w:p w:rsidR="009F0D86" w:rsidRDefault="009F0D86" w:rsidP="00CD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0674788"/>
      <w:docPartObj>
        <w:docPartGallery w:val="Page Numbers (Bottom of Page)"/>
        <w:docPartUnique/>
      </w:docPartObj>
    </w:sdtPr>
    <w:sdtEndPr/>
    <w:sdtContent>
      <w:p w:rsidR="009468BA" w:rsidRDefault="009468BA">
        <w:pPr>
          <w:pStyle w:val="Footer"/>
          <w:jc w:val="right"/>
        </w:pPr>
      </w:p>
      <w:p w:rsidR="009468BA" w:rsidRDefault="009F0D86">
        <w:pPr>
          <w:pStyle w:val="Footer"/>
          <w:jc w:val="right"/>
        </w:pPr>
      </w:p>
    </w:sdtContent>
  </w:sdt>
  <w:p w:rsidR="009468BA" w:rsidRDefault="009468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86" w:rsidRDefault="009F0D86" w:rsidP="00CD59E2">
      <w:r>
        <w:separator/>
      </w:r>
    </w:p>
  </w:footnote>
  <w:footnote w:type="continuationSeparator" w:id="0">
    <w:p w:rsidR="009F0D86" w:rsidRDefault="009F0D86" w:rsidP="00CD5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2053"/>
      <w:docPartObj>
        <w:docPartGallery w:val="Page Numbers (Top of Page)"/>
        <w:docPartUnique/>
      </w:docPartObj>
    </w:sdtPr>
    <w:sdtEndPr/>
    <w:sdtContent>
      <w:p w:rsidR="009468BA" w:rsidRDefault="009468B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468BA" w:rsidRDefault="009468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="009468BA" w:rsidRPr="000B32FB" w:rsidRDefault="009468BA" w:rsidP="00747842">
        <w:pPr>
          <w:pStyle w:val="Header"/>
          <w:ind w:right="140"/>
          <w:rPr>
            <w:rFonts w:ascii="Times New Roman" w:hAnsi="Times New Roman" w:cs="Times New Roman"/>
            <w:sz w:val="20"/>
            <w:szCs w:val="20"/>
          </w:rPr>
        </w:pPr>
        <w:r w:rsidRPr="000B32FB">
          <w:rPr>
            <w:rFonts w:ascii="Times New Roman" w:hAnsi="Times New Roman" w:cs="Times New Roman"/>
            <w:sz w:val="20"/>
            <w:szCs w:val="20"/>
          </w:rPr>
          <w:t xml:space="preserve">Хармонија </w:t>
        </w:r>
        <w:r w:rsidRPr="000B32FB">
          <w:rPr>
            <w:rFonts w:ascii="Times New Roman" w:hAnsi="Times New Roman" w:cs="Times New Roman"/>
            <w:sz w:val="20"/>
            <w:szCs w:val="20"/>
            <w:lang w:val="sr-Cyrl-RS"/>
          </w:rPr>
          <w:t>п</w:t>
        </w:r>
        <w:r w:rsidRPr="000B32FB">
          <w:rPr>
            <w:rFonts w:ascii="Times New Roman" w:hAnsi="Times New Roman" w:cs="Times New Roman"/>
            <w:sz w:val="20"/>
            <w:szCs w:val="20"/>
          </w:rPr>
          <w:t xml:space="preserve">ројект    </w:t>
        </w:r>
        <w:r w:rsidRPr="000B32FB">
          <w:rPr>
            <w:rFonts w:ascii="Times New Roman" w:hAnsi="Times New Roman" w:cs="Times New Roman"/>
            <w:sz w:val="20"/>
            <w:szCs w:val="20"/>
            <w:lang w:val="sr-Cyrl-RS"/>
          </w:rPr>
          <w:t xml:space="preserve">                                                            </w:t>
        </w:r>
        <w:r>
          <w:rPr>
            <w:rFonts w:ascii="Times New Roman" w:hAnsi="Times New Roman" w:cs="Times New Roman"/>
            <w:sz w:val="20"/>
            <w:szCs w:val="20"/>
            <w:lang w:val="sr-Cyrl-RS"/>
          </w:rPr>
          <w:t xml:space="preserve">                                  </w:t>
        </w:r>
        <w:r w:rsidRPr="000B32FB">
          <w:rPr>
            <w:rFonts w:ascii="Times New Roman" w:hAnsi="Times New Roman" w:cs="Times New Roman"/>
            <w:sz w:val="20"/>
            <w:szCs w:val="20"/>
            <w:lang w:val="sr-Cyrl-RS"/>
          </w:rPr>
          <w:t xml:space="preserve">                                                        </w:t>
        </w:r>
        <w:r w:rsidRPr="000B32FB">
          <w:rPr>
            <w:rFonts w:ascii="Times New Roman" w:hAnsi="Times New Roman" w:cs="Times New Roman"/>
            <w:sz w:val="20"/>
            <w:szCs w:val="20"/>
          </w:rPr>
          <w:t xml:space="preserve">    </w: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instrText xml:space="preserve"> PAGE </w:instrTex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6C6CF3">
          <w:rPr>
            <w:rFonts w:ascii="Times New Roman" w:hAnsi="Times New Roman" w:cs="Times New Roman"/>
            <w:bCs/>
            <w:noProof/>
            <w:sz w:val="20"/>
            <w:szCs w:val="20"/>
          </w:rPr>
          <w:t>1</w: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  <w:r w:rsidRPr="000B32FB">
          <w:rPr>
            <w:rFonts w:ascii="Times New Roman" w:hAnsi="Times New Roman" w:cs="Times New Roman"/>
            <w:sz w:val="20"/>
            <w:szCs w:val="20"/>
          </w:rPr>
          <w:t>/</w: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instrText xml:space="preserve"> NUMPAGES  </w:instrTex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6C6CF3">
          <w:rPr>
            <w:rFonts w:ascii="Times New Roman" w:hAnsi="Times New Roman" w:cs="Times New Roman"/>
            <w:bCs/>
            <w:noProof/>
            <w:sz w:val="20"/>
            <w:szCs w:val="20"/>
          </w:rPr>
          <w:t>3</w:t>
        </w:r>
        <w:r w:rsidRPr="000B32FB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</w:p>
    </w:sdtContent>
  </w:sdt>
  <w:p w:rsidR="009468BA" w:rsidRDefault="009468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13EA"/>
    <w:multiLevelType w:val="hybridMultilevel"/>
    <w:tmpl w:val="6442AAD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5A1B22"/>
    <w:multiLevelType w:val="multilevel"/>
    <w:tmpl w:val="9EB8A8B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82A5B59"/>
    <w:multiLevelType w:val="hybridMultilevel"/>
    <w:tmpl w:val="284673E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F42DD"/>
    <w:multiLevelType w:val="hybridMultilevel"/>
    <w:tmpl w:val="A40AA13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F672571"/>
    <w:multiLevelType w:val="hybridMultilevel"/>
    <w:tmpl w:val="38D0E9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30949"/>
    <w:multiLevelType w:val="hybridMultilevel"/>
    <w:tmpl w:val="A9FA7A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9C3156"/>
    <w:multiLevelType w:val="hybridMultilevel"/>
    <w:tmpl w:val="E938C23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920347"/>
    <w:multiLevelType w:val="hybridMultilevel"/>
    <w:tmpl w:val="F66E95B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53939"/>
    <w:multiLevelType w:val="hybridMultilevel"/>
    <w:tmpl w:val="D8280ECC"/>
    <w:lvl w:ilvl="0" w:tplc="56FEC9D8">
      <w:start w:val="1"/>
      <w:numFmt w:val="decimal"/>
      <w:pStyle w:val="Heading2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C3E64"/>
    <w:multiLevelType w:val="hybridMultilevel"/>
    <w:tmpl w:val="6A222B9A"/>
    <w:lvl w:ilvl="0" w:tplc="08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115201"/>
    <w:multiLevelType w:val="hybridMultilevel"/>
    <w:tmpl w:val="59D6D3A4"/>
    <w:lvl w:ilvl="0" w:tplc="081A000B">
      <w:start w:val="1"/>
      <w:numFmt w:val="bullet"/>
      <w:lvlText w:val=""/>
      <w:lvlJc w:val="left"/>
      <w:pPr>
        <w:tabs>
          <w:tab w:val="num" w:pos="2138"/>
        </w:tabs>
        <w:ind w:left="2138" w:hanging="360"/>
      </w:pPr>
      <w:rPr>
        <w:rFonts w:ascii="Wingdings" w:hAnsi="Wingdings" w:cs="Wingdings" w:hint="default"/>
      </w:rPr>
    </w:lvl>
    <w:lvl w:ilvl="1" w:tplc="081A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cs="Wingdings" w:hint="default"/>
      </w:rPr>
    </w:lvl>
  </w:abstractNum>
  <w:abstractNum w:abstractNumId="11">
    <w:nsid w:val="37730233"/>
    <w:multiLevelType w:val="hybridMultilevel"/>
    <w:tmpl w:val="FE9C57EA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A016785"/>
    <w:multiLevelType w:val="hybridMultilevel"/>
    <w:tmpl w:val="96C6A1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077BF4"/>
    <w:multiLevelType w:val="hybridMultilevel"/>
    <w:tmpl w:val="395AA8B4"/>
    <w:lvl w:ilvl="0" w:tplc="08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5632309"/>
    <w:multiLevelType w:val="hybridMultilevel"/>
    <w:tmpl w:val="A6047300"/>
    <w:lvl w:ilvl="0" w:tplc="C7B4E4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03F72"/>
    <w:multiLevelType w:val="hybridMultilevel"/>
    <w:tmpl w:val="664E37D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140F4"/>
    <w:multiLevelType w:val="hybridMultilevel"/>
    <w:tmpl w:val="4862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56E10"/>
    <w:multiLevelType w:val="hybridMultilevel"/>
    <w:tmpl w:val="6F6040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B1B1CCD"/>
    <w:multiLevelType w:val="hybridMultilevel"/>
    <w:tmpl w:val="4DE23B3E"/>
    <w:lvl w:ilvl="0" w:tplc="521EB3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A796C"/>
    <w:multiLevelType w:val="hybridMultilevel"/>
    <w:tmpl w:val="DC7C2D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B84186"/>
    <w:multiLevelType w:val="hybridMultilevel"/>
    <w:tmpl w:val="EED29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E5575"/>
    <w:multiLevelType w:val="hybridMultilevel"/>
    <w:tmpl w:val="5906C6A0"/>
    <w:lvl w:ilvl="0" w:tplc="081A000B">
      <w:start w:val="1"/>
      <w:numFmt w:val="bullet"/>
      <w:lvlText w:val=""/>
      <w:lvlJc w:val="left"/>
      <w:pPr>
        <w:tabs>
          <w:tab w:val="num" w:pos="2138"/>
        </w:tabs>
        <w:ind w:left="2138" w:hanging="360"/>
      </w:pPr>
      <w:rPr>
        <w:rFonts w:ascii="Wingdings" w:hAnsi="Wingdings" w:cs="Wingdings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8655FA0"/>
    <w:multiLevelType w:val="hybridMultilevel"/>
    <w:tmpl w:val="D22A479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8EF0F9B"/>
    <w:multiLevelType w:val="hybridMultilevel"/>
    <w:tmpl w:val="BDCCD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C3BA6"/>
    <w:multiLevelType w:val="hybridMultilevel"/>
    <w:tmpl w:val="31E206E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E94301F"/>
    <w:multiLevelType w:val="hybridMultilevel"/>
    <w:tmpl w:val="97BA4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358C3"/>
    <w:multiLevelType w:val="hybridMultilevel"/>
    <w:tmpl w:val="E14838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3571C1"/>
    <w:multiLevelType w:val="hybridMultilevel"/>
    <w:tmpl w:val="8CD690CE"/>
    <w:lvl w:ilvl="0" w:tplc="0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3657D8"/>
    <w:multiLevelType w:val="hybridMultilevel"/>
    <w:tmpl w:val="9D8A26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C667A"/>
    <w:multiLevelType w:val="hybridMultilevel"/>
    <w:tmpl w:val="439E640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687D46"/>
    <w:multiLevelType w:val="hybridMultilevel"/>
    <w:tmpl w:val="738E71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230406"/>
    <w:multiLevelType w:val="hybridMultilevel"/>
    <w:tmpl w:val="224C1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D5AD9"/>
    <w:multiLevelType w:val="hybridMultilevel"/>
    <w:tmpl w:val="59C2E4FE"/>
    <w:lvl w:ilvl="0" w:tplc="127A2040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F1FE4"/>
    <w:multiLevelType w:val="hybridMultilevel"/>
    <w:tmpl w:val="5F92DA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578437D"/>
    <w:multiLevelType w:val="hybridMultilevel"/>
    <w:tmpl w:val="AC48E2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8614E"/>
    <w:multiLevelType w:val="hybridMultilevel"/>
    <w:tmpl w:val="4CA6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0139C4"/>
    <w:multiLevelType w:val="hybridMultilevel"/>
    <w:tmpl w:val="3140F014"/>
    <w:lvl w:ilvl="0" w:tplc="080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7B1D63C4"/>
    <w:multiLevelType w:val="multilevel"/>
    <w:tmpl w:val="2362E04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5"/>
      <w:numFmt w:val="decimal"/>
      <w:lvlText w:val="2.%2. "/>
      <w:lvlJc w:val="left"/>
      <w:pPr>
        <w:ind w:left="1080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5"/>
  </w:num>
  <w:num w:numId="4">
    <w:abstractNumId w:val="33"/>
  </w:num>
  <w:num w:numId="5">
    <w:abstractNumId w:val="16"/>
  </w:num>
  <w:num w:numId="6">
    <w:abstractNumId w:val="37"/>
  </w:num>
  <w:num w:numId="7">
    <w:abstractNumId w:val="32"/>
  </w:num>
  <w:num w:numId="8">
    <w:abstractNumId w:val="37"/>
    <w:lvlOverride w:ilvl="0">
      <w:startOverride w:val="1"/>
    </w:lvlOverride>
  </w:num>
  <w:num w:numId="9">
    <w:abstractNumId w:val="32"/>
    <w:lvlOverride w:ilvl="0">
      <w:startOverride w:val="2"/>
    </w:lvlOverride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"/>
  </w:num>
  <w:num w:numId="17">
    <w:abstractNumId w:val="10"/>
  </w:num>
  <w:num w:numId="18">
    <w:abstractNumId w:val="13"/>
  </w:num>
  <w:num w:numId="19">
    <w:abstractNumId w:val="2"/>
  </w:num>
  <w:num w:numId="20">
    <w:abstractNumId w:val="3"/>
  </w:num>
  <w:num w:numId="21">
    <w:abstractNumId w:val="30"/>
  </w:num>
  <w:num w:numId="22">
    <w:abstractNumId w:val="24"/>
  </w:num>
  <w:num w:numId="23">
    <w:abstractNumId w:val="21"/>
  </w:num>
  <w:num w:numId="24">
    <w:abstractNumId w:val="27"/>
  </w:num>
  <w:num w:numId="25">
    <w:abstractNumId w:val="9"/>
  </w:num>
  <w:num w:numId="26">
    <w:abstractNumId w:val="11"/>
  </w:num>
  <w:num w:numId="27">
    <w:abstractNumId w:val="31"/>
  </w:num>
  <w:num w:numId="28">
    <w:abstractNumId w:val="12"/>
  </w:num>
  <w:num w:numId="29">
    <w:abstractNumId w:val="25"/>
  </w:num>
  <w:num w:numId="30">
    <w:abstractNumId w:val="26"/>
  </w:num>
  <w:num w:numId="31">
    <w:abstractNumId w:val="17"/>
  </w:num>
  <w:num w:numId="32">
    <w:abstractNumId w:val="19"/>
  </w:num>
  <w:num w:numId="33">
    <w:abstractNumId w:val="0"/>
  </w:num>
  <w:num w:numId="34">
    <w:abstractNumId w:val="15"/>
  </w:num>
  <w:num w:numId="35">
    <w:abstractNumId w:val="23"/>
  </w:num>
  <w:num w:numId="36">
    <w:abstractNumId w:val="29"/>
  </w:num>
  <w:num w:numId="37">
    <w:abstractNumId w:val="6"/>
  </w:num>
  <w:num w:numId="38">
    <w:abstractNumId w:val="36"/>
  </w:num>
  <w:num w:numId="39">
    <w:abstractNumId w:val="22"/>
  </w:num>
  <w:num w:numId="40">
    <w:abstractNumId w:val="7"/>
  </w:num>
  <w:num w:numId="41">
    <w:abstractNumId w:val="14"/>
  </w:num>
  <w:num w:numId="42">
    <w:abstractNumId w:val="34"/>
  </w:num>
  <w:num w:numId="43">
    <w:abstractNumId w:val="4"/>
  </w:num>
  <w:num w:numId="44">
    <w:abstractNumId w:val="2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9E2"/>
    <w:rsid w:val="00002924"/>
    <w:rsid w:val="00004C7C"/>
    <w:rsid w:val="000426F5"/>
    <w:rsid w:val="00057C4F"/>
    <w:rsid w:val="00073479"/>
    <w:rsid w:val="000770A7"/>
    <w:rsid w:val="00077766"/>
    <w:rsid w:val="000778A0"/>
    <w:rsid w:val="000B32FB"/>
    <w:rsid w:val="000D20A9"/>
    <w:rsid w:val="001113FE"/>
    <w:rsid w:val="00155183"/>
    <w:rsid w:val="0016376C"/>
    <w:rsid w:val="00187C92"/>
    <w:rsid w:val="00197B35"/>
    <w:rsid w:val="001A2FFE"/>
    <w:rsid w:val="001A6C53"/>
    <w:rsid w:val="001E6CE9"/>
    <w:rsid w:val="001F1736"/>
    <w:rsid w:val="001F1E78"/>
    <w:rsid w:val="001F53F8"/>
    <w:rsid w:val="00211C2D"/>
    <w:rsid w:val="002163D1"/>
    <w:rsid w:val="002426FA"/>
    <w:rsid w:val="00247032"/>
    <w:rsid w:val="00254891"/>
    <w:rsid w:val="0025771B"/>
    <w:rsid w:val="002A5057"/>
    <w:rsid w:val="002B0E35"/>
    <w:rsid w:val="0034718C"/>
    <w:rsid w:val="00355596"/>
    <w:rsid w:val="00390BD6"/>
    <w:rsid w:val="003948CA"/>
    <w:rsid w:val="003B4F03"/>
    <w:rsid w:val="003E223D"/>
    <w:rsid w:val="004002AB"/>
    <w:rsid w:val="00405464"/>
    <w:rsid w:val="00406973"/>
    <w:rsid w:val="004225E4"/>
    <w:rsid w:val="0047109C"/>
    <w:rsid w:val="004713CD"/>
    <w:rsid w:val="00475158"/>
    <w:rsid w:val="004A7E2E"/>
    <w:rsid w:val="004D2697"/>
    <w:rsid w:val="004D618D"/>
    <w:rsid w:val="004F7F1C"/>
    <w:rsid w:val="0050626C"/>
    <w:rsid w:val="00525845"/>
    <w:rsid w:val="0052670F"/>
    <w:rsid w:val="0052782D"/>
    <w:rsid w:val="00537012"/>
    <w:rsid w:val="00576760"/>
    <w:rsid w:val="005A5981"/>
    <w:rsid w:val="005B415B"/>
    <w:rsid w:val="005B4A6A"/>
    <w:rsid w:val="005D6FF5"/>
    <w:rsid w:val="005F76BA"/>
    <w:rsid w:val="006067D9"/>
    <w:rsid w:val="00620AAB"/>
    <w:rsid w:val="0064068D"/>
    <w:rsid w:val="006B3C81"/>
    <w:rsid w:val="006C412E"/>
    <w:rsid w:val="006C4947"/>
    <w:rsid w:val="006C6CF3"/>
    <w:rsid w:val="006D6EDF"/>
    <w:rsid w:val="006E6DA1"/>
    <w:rsid w:val="006F1F8F"/>
    <w:rsid w:val="0070151D"/>
    <w:rsid w:val="00720204"/>
    <w:rsid w:val="0072469E"/>
    <w:rsid w:val="007416C8"/>
    <w:rsid w:val="00747842"/>
    <w:rsid w:val="007505EE"/>
    <w:rsid w:val="00753976"/>
    <w:rsid w:val="007666E4"/>
    <w:rsid w:val="007B1217"/>
    <w:rsid w:val="007B1664"/>
    <w:rsid w:val="007C01E5"/>
    <w:rsid w:val="007C52C5"/>
    <w:rsid w:val="007C57D6"/>
    <w:rsid w:val="007F2446"/>
    <w:rsid w:val="007F5EAF"/>
    <w:rsid w:val="00801B39"/>
    <w:rsid w:val="00814DC9"/>
    <w:rsid w:val="0083296B"/>
    <w:rsid w:val="00875B97"/>
    <w:rsid w:val="0087625E"/>
    <w:rsid w:val="008838A8"/>
    <w:rsid w:val="008B0A96"/>
    <w:rsid w:val="008E6FF2"/>
    <w:rsid w:val="008F4ADD"/>
    <w:rsid w:val="0092101D"/>
    <w:rsid w:val="009468BA"/>
    <w:rsid w:val="009519EA"/>
    <w:rsid w:val="00957567"/>
    <w:rsid w:val="0097048D"/>
    <w:rsid w:val="00982CDE"/>
    <w:rsid w:val="009913B5"/>
    <w:rsid w:val="00992C80"/>
    <w:rsid w:val="009B426A"/>
    <w:rsid w:val="009B7AE4"/>
    <w:rsid w:val="009C6C71"/>
    <w:rsid w:val="009D2D58"/>
    <w:rsid w:val="009D7BC7"/>
    <w:rsid w:val="009E055E"/>
    <w:rsid w:val="009F0D86"/>
    <w:rsid w:val="009F50DD"/>
    <w:rsid w:val="009F7650"/>
    <w:rsid w:val="00A16F6E"/>
    <w:rsid w:val="00A31058"/>
    <w:rsid w:val="00A3178E"/>
    <w:rsid w:val="00A33FBC"/>
    <w:rsid w:val="00A36E5B"/>
    <w:rsid w:val="00A376D1"/>
    <w:rsid w:val="00A41FEE"/>
    <w:rsid w:val="00A5069F"/>
    <w:rsid w:val="00A532BA"/>
    <w:rsid w:val="00A562B6"/>
    <w:rsid w:val="00A63C21"/>
    <w:rsid w:val="00A917BF"/>
    <w:rsid w:val="00AA3BA6"/>
    <w:rsid w:val="00AB086A"/>
    <w:rsid w:val="00AB0BFA"/>
    <w:rsid w:val="00AB5552"/>
    <w:rsid w:val="00AB61DA"/>
    <w:rsid w:val="00AE57ED"/>
    <w:rsid w:val="00B264E9"/>
    <w:rsid w:val="00B33571"/>
    <w:rsid w:val="00B56F32"/>
    <w:rsid w:val="00B606EE"/>
    <w:rsid w:val="00B721E5"/>
    <w:rsid w:val="00B75A8E"/>
    <w:rsid w:val="00B946C2"/>
    <w:rsid w:val="00B96F8F"/>
    <w:rsid w:val="00BD15AB"/>
    <w:rsid w:val="00BE0D66"/>
    <w:rsid w:val="00BF22B9"/>
    <w:rsid w:val="00C11E5D"/>
    <w:rsid w:val="00C22616"/>
    <w:rsid w:val="00C22676"/>
    <w:rsid w:val="00C333D4"/>
    <w:rsid w:val="00C376BA"/>
    <w:rsid w:val="00C531DC"/>
    <w:rsid w:val="00C62EA8"/>
    <w:rsid w:val="00C818EE"/>
    <w:rsid w:val="00C8554A"/>
    <w:rsid w:val="00C92EBB"/>
    <w:rsid w:val="00C95A3B"/>
    <w:rsid w:val="00CA31C2"/>
    <w:rsid w:val="00CD59E2"/>
    <w:rsid w:val="00D304AC"/>
    <w:rsid w:val="00D40C70"/>
    <w:rsid w:val="00D4263C"/>
    <w:rsid w:val="00D42A2E"/>
    <w:rsid w:val="00D46EA9"/>
    <w:rsid w:val="00D47FF8"/>
    <w:rsid w:val="00D51304"/>
    <w:rsid w:val="00D539D3"/>
    <w:rsid w:val="00D90667"/>
    <w:rsid w:val="00DA4FCC"/>
    <w:rsid w:val="00DB5AC8"/>
    <w:rsid w:val="00DC615B"/>
    <w:rsid w:val="00DD3A52"/>
    <w:rsid w:val="00DF54F0"/>
    <w:rsid w:val="00E22899"/>
    <w:rsid w:val="00E346B4"/>
    <w:rsid w:val="00E969D8"/>
    <w:rsid w:val="00EA6255"/>
    <w:rsid w:val="00EC3F7E"/>
    <w:rsid w:val="00ED5685"/>
    <w:rsid w:val="00F45BB1"/>
    <w:rsid w:val="00FA6700"/>
    <w:rsid w:val="00FC26C5"/>
    <w:rsid w:val="00FC5490"/>
    <w:rsid w:val="00FF3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8CA"/>
  </w:style>
  <w:style w:type="paragraph" w:styleId="Heading1">
    <w:name w:val="heading 1"/>
    <w:basedOn w:val="Normal"/>
    <w:next w:val="Normal"/>
    <w:link w:val="Heading1Char"/>
    <w:uiPriority w:val="9"/>
    <w:qFormat/>
    <w:rsid w:val="00E346B4"/>
    <w:pPr>
      <w:keepNext/>
      <w:keepLines/>
      <w:numPr>
        <w:numId w:val="6"/>
      </w:numPr>
      <w:spacing w:before="480"/>
      <w:jc w:val="center"/>
      <w:outlineLvl w:val="0"/>
    </w:pPr>
    <w:rPr>
      <w:rFonts w:ascii="Tahoma" w:eastAsiaTheme="majorEastAsia" w:hAnsi="Tahoma" w:cstheme="majorBidi"/>
      <w:b/>
      <w:bCs/>
      <w:caps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670F"/>
    <w:pPr>
      <w:keepNext/>
      <w:keepLines/>
      <w:numPr>
        <w:numId w:val="11"/>
      </w:numPr>
      <w:spacing w:line="480" w:lineRule="auto"/>
      <w:ind w:left="714" w:hanging="357"/>
      <w:outlineLvl w:val="1"/>
    </w:pPr>
    <w:rPr>
      <w:rFonts w:ascii="Tahoma" w:eastAsiaTheme="majorEastAsia" w:hAnsi="Tahoma" w:cstheme="majorBidi"/>
      <w:b/>
      <w:bCs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3B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CD59E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CD59E2"/>
  </w:style>
  <w:style w:type="paragraph" w:styleId="Footer">
    <w:name w:val="footer"/>
    <w:basedOn w:val="Normal"/>
    <w:link w:val="FooterChar"/>
    <w:uiPriority w:val="99"/>
    <w:unhideWhenUsed/>
    <w:rsid w:val="00CD59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9E2"/>
  </w:style>
  <w:style w:type="character" w:customStyle="1" w:styleId="Heading1Char">
    <w:name w:val="Heading 1 Char"/>
    <w:basedOn w:val="DefaultParagraphFont"/>
    <w:link w:val="Heading1"/>
    <w:uiPriority w:val="9"/>
    <w:rsid w:val="00E346B4"/>
    <w:rPr>
      <w:rFonts w:ascii="Tahoma" w:eastAsiaTheme="majorEastAsia" w:hAnsi="Tahoma" w:cstheme="majorBidi"/>
      <w:b/>
      <w:bCs/>
      <w:caps/>
      <w:sz w:val="40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CD59E2"/>
    <w:pPr>
      <w:spacing w:line="276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D59E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D59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E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AA3BA6"/>
    <w:pPr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TitleChar">
    <w:name w:val="Title Char"/>
    <w:basedOn w:val="DefaultParagraphFont"/>
    <w:link w:val="Title"/>
    <w:rsid w:val="00AA3BA6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uiPriority w:val="9"/>
    <w:rsid w:val="0052670F"/>
    <w:rPr>
      <w:rFonts w:ascii="Tahoma" w:eastAsiaTheme="majorEastAsia" w:hAnsi="Tahoma" w:cstheme="majorBidi"/>
      <w:b/>
      <w:bCs/>
      <w:cap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3B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C95A3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95A3B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CA31C2"/>
    <w:pPr>
      <w:ind w:left="720"/>
      <w:contextualSpacing/>
    </w:pPr>
  </w:style>
  <w:style w:type="paragraph" w:styleId="BodyText">
    <w:name w:val="Body Text"/>
    <w:basedOn w:val="Normal"/>
    <w:link w:val="BodyTextChar"/>
    <w:rsid w:val="001A6C53"/>
    <w:pPr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1A6C53"/>
    <w:rPr>
      <w:rFonts w:ascii="Times New Roman" w:eastAsia="Times New Roman" w:hAnsi="Times New Roman" w:cs="Times New Roman"/>
      <w:sz w:val="28"/>
      <w:szCs w:val="24"/>
      <w:lang w:val="sl-SI"/>
    </w:rPr>
  </w:style>
  <w:style w:type="table" w:styleId="TableGrid">
    <w:name w:val="Table Grid"/>
    <w:basedOn w:val="TableNormal"/>
    <w:uiPriority w:val="59"/>
    <w:rsid w:val="001A6C53"/>
    <w:pPr>
      <w:jc w:val="left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9468B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00A4-6E2E-44CF-929E-B96771F3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Harmonija Projekt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</dc:creator>
  <cp:lastModifiedBy>Sladja</cp:lastModifiedBy>
  <cp:revision>113</cp:revision>
  <cp:lastPrinted>2022-06-22T09:33:00Z</cp:lastPrinted>
  <dcterms:created xsi:type="dcterms:W3CDTF">2017-07-03T08:36:00Z</dcterms:created>
  <dcterms:modified xsi:type="dcterms:W3CDTF">2022-06-22T09:34:00Z</dcterms:modified>
</cp:coreProperties>
</file>